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4F5C" w:val="clear"/>
            <w:tcMar>
              <w:top w:type="dxa" w:w="200"/>
              <w:left w:type="dxa" w:w="240"/>
              <w:bottom w:type="dxa" w:w="200"/>
              <w:right w:type="dxa" w:w="240"/>
            </w:tcMar>
          </w:tcPr>
          <w:p>
            <w:r>
              <w:rPr>
                <w:rFonts w:ascii="Arial" w:cs="Arial" w:eastAsia="Arial" w:hAnsi="Arial"/>
                <w:b/>
                <w:bCs/>
                <w:color w:val="FFFFFF"/>
                <w:sz w:val="32"/>
                <w:szCs w:val="32"/>
              </w:rPr>
              <w:t xml:space="preserve">RISE Campaign Builder</w:t>
            </w:r>
          </w:p>
        </w:tc>
      </w:tr>
    </w:tbl>
    <w:p>
      <w:pPr>
        <w:spacing w:after="80" w:before="80"/>
      </w:pPr>
      <w:r>
        <w:t xml:space="preserve"/>
      </w:r>
    </w:p>
    <w:p>
      <w:pPr>
        <w:spacing w:after="80" w:before="80"/>
      </w:pPr>
      <w:r>
        <w:rPr>
          <w:rFonts w:ascii="Arial" w:cs="Arial" w:eastAsia="Arial" w:hAnsi="Arial"/>
          <w:b/>
          <w:bCs/>
          <w:color w:val="1A1A1A"/>
          <w:sz w:val="32"/>
          <w:szCs w:val="32"/>
        </w:rPr>
        <w:t xml:space="preserve">Replicating Engage Task Lists in RISE</w:t>
      </w:r>
    </w:p>
    <w:p>
      <w:pPr>
        <w:spacing w:after="160" w:before="60"/>
      </w:pPr>
      <w:r>
        <w:rPr>
          <w:rFonts w:ascii="Arial" w:cs="Arial" w:eastAsia="Arial" w:hAnsi="Arial"/>
          <w:b/>
          <w:bCs/>
          <w:color w:val="0D4F5C"/>
          <w:sz w:val="24"/>
          <w:szCs w:val="24"/>
        </w:rPr>
        <w:t xml:space="preserve">Admin Guide — Brokerage Marketing Team</w:t>
      </w:r>
    </w:p>
    <w:p>
      <w:pPr>
        <w:spacing w:after="80" w:before="80"/>
      </w:pPr>
      <w:r>
        <w:rPr>
          <w:rFonts w:ascii="Arial" w:cs="Arial" w:eastAsia="Arial" w:hAnsi="Arial"/>
          <w:color w:val="1A1A1A"/>
          <w:sz w:val="20"/>
          <w:szCs w:val="20"/>
        </w:rPr>
        <w:t xml:space="preserve">This guide is for brokerage marketing admins responsible for building and deploying task automation Campaigns in RISE on behalf of their agents. It assumes a working knowledge of RISE Campaigns and how automations function within the platform.</w:t>
      </w:r>
    </w:p>
    <w:p>
      <w:pPr>
        <w:spacing w:after="80" w:before="80"/>
      </w:pPr>
      <w:r>
        <w:rPr>
          <w:rFonts w:ascii="Arial" w:cs="Arial" w:eastAsia="Arial" w:hAnsi="Arial"/>
          <w:color w:val="1A1A1A"/>
          <w:sz w:val="20"/>
          <w:szCs w:val="20"/>
        </w:rPr>
        <w:t xml:space="preserve">The goal is to replicate the structured task plans from Engage — Lead, Marketing, Buyer, and Seller — as RISE Campaigns that can be deployed brokerage-wide using the Send As functionality.</w:t>
      </w:r>
    </w:p>
    <w:p>
      <w:pPr>
        <w:spacing w:after="80" w:before="80"/>
      </w:pPr>
      <w:r>
        <w:t xml:space="preserve"/>
      </w:r>
    </w:p>
    <w:p>
      <w:pPr>
        <w:spacing w:after="80" w:before="320"/>
      </w:pPr>
      <w:r>
        <w:rPr>
          <w:rFonts w:ascii="Arial" w:cs="Arial" w:eastAsia="Arial" w:hAnsi="Arial"/>
          <w:b/>
          <w:bCs/>
          <w:color w:val="0D4F5C"/>
          <w:sz w:val="18"/>
          <w:szCs w:val="18"/>
        </w:rPr>
        <w:t xml:space="preserve">BACKGROUND</w:t>
      </w:r>
    </w:p>
    <w:p>
      <w:pPr>
        <w:pStyle w:val="Heading1"/>
        <w:spacing w:after="160" w:before="160"/>
      </w:pPr>
      <w:r>
        <w:rPr>
          <w:rFonts w:ascii="Arial" w:cs="Arial" w:eastAsia="Arial" w:hAnsi="Arial"/>
          <w:b/>
          <w:bCs/>
          <w:color w:val="1A1A1A"/>
          <w:sz w:val="36"/>
          <w:szCs w:val="36"/>
        </w:rPr>
        <w:t xml:space="preserve">How Engage Task Plans Map to RISE</w:t>
      </w:r>
    </w:p>
    <w:p>
      <w:pPr>
        <w:spacing w:after="80" w:before="80"/>
      </w:pPr>
      <w:r>
        <w:rPr>
          <w:rFonts w:ascii="Arial" w:cs="Arial" w:eastAsia="Arial" w:hAnsi="Arial"/>
          <w:color w:val="1A1A1A"/>
          <w:sz w:val="20"/>
          <w:szCs w:val="20"/>
        </w:rPr>
        <w:t xml:space="preserve">In Engage, task plans were predefined lists assigned to contacts based on their stage in the sales flow. RISE replicates this using Campaigns triggered by Stage Change, with Create Task actions and optional Contact Type conditions layered in.</w:t>
      </w:r>
    </w:p>
    <w:p>
      <w:pPr>
        <w:spacing w:after="80" w:before="80"/>
      </w:pPr>
      <w:r>
        <w:t xml:space="preserve"/>
      </w:r>
    </w:p>
    <w:p>
      <w:pPr>
        <w:spacing w:after="80" w:before="80"/>
      </w:pPr>
      <w:r>
        <w:rPr>
          <w:rFonts w:ascii="Arial" w:cs="Arial" w:eastAsia="Arial" w:hAnsi="Arial"/>
          <w:color w:val="1A1A1A"/>
          <w:sz w:val="20"/>
          <w:szCs w:val="20"/>
        </w:rPr>
        <w:t xml:space="preserve">As an admin, you will build these Campaigns once and deploy them to your agents using Send As. Agents will then see tasks auto-generated as their contacts move through the pipeline.</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Engage</w:t>
            </w:r>
          </w:p>
        </w:tc>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RISE Equivalent</w:t>
            </w:r>
          </w:p>
        </w:tc>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Notes</w:t>
            </w:r>
          </w:p>
        </w:tc>
      </w:tr>
      <w:tr>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Lead Marketing Plan</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Stage Change: Lead Campaign</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No Contact Type condition needed at lead stage</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Marketing Plan</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Stage Change: Nurture Campaign</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General nurture tasks, no buyer/seller split required</w:t>
            </w:r>
          </w:p>
        </w:tc>
      </w:tr>
      <w:tr>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Buyer Plan</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Stage Change: Warm/Hot + Contact Type = Buyer</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Condition required to separate buyer tasks from seller tasks</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Seller Plan</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Stage Change: Warm/Hot + Contact Type = Seller</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Separate Campaign from Buyer — same stage, different condition</w:t>
            </w:r>
          </w:p>
        </w:tc>
      </w:tr>
    </w:tbl>
    <w:p>
      <w:pPr>
        <w:spacing w:after="80" w:before="80"/>
      </w:pPr>
      <w:r>
        <w:t xml:space="preserve"/>
      </w:r>
    </w:p>
    <w:p>
      <w:r>
        <w:br w:type="page"/>
      </w:r>
    </w:p>
    <w:p>
      <w:pPr>
        <w:spacing w:after="80" w:before="320"/>
      </w:pPr>
      <w:r>
        <w:rPr>
          <w:rFonts w:ascii="Arial" w:cs="Arial" w:eastAsia="Arial" w:hAnsi="Arial"/>
          <w:b/>
          <w:bCs/>
          <w:color w:val="0D4F5C"/>
          <w:sz w:val="18"/>
          <w:szCs w:val="18"/>
        </w:rPr>
        <w:t xml:space="preserve">BUILDING CAMPAIGNS</w:t>
      </w:r>
    </w:p>
    <w:p>
      <w:pPr>
        <w:pStyle w:val="Heading1"/>
        <w:spacing w:after="160" w:before="160"/>
      </w:pPr>
      <w:r>
        <w:rPr>
          <w:rFonts w:ascii="Arial" w:cs="Arial" w:eastAsia="Arial" w:hAnsi="Arial"/>
          <w:b/>
          <w:bCs/>
          <w:color w:val="1A1A1A"/>
          <w:sz w:val="36"/>
          <w:szCs w:val="36"/>
        </w:rPr>
        <w:t xml:space="preserve">Admin Build Process</w:t>
      </w:r>
    </w:p>
    <w:p>
      <w:pPr>
        <w:spacing w:after="80" w:before="80"/>
      </w:pPr>
      <w:r>
        <w:rPr>
          <w:rFonts w:ascii="Arial" w:cs="Arial" w:eastAsia="Arial" w:hAnsi="Arial"/>
          <w:color w:val="1A1A1A"/>
          <w:sz w:val="20"/>
          <w:szCs w:val="20"/>
        </w:rPr>
        <w:t xml:space="preserve">Follow these steps for each Campaign you build. Each Engage task plan type should be its own Campaign in RISE.</w:t>
      </w:r>
    </w:p>
    <w:p>
      <w:pPr>
        <w:spacing w:after="80" w:before="80"/>
      </w:pPr>
      <w:r>
        <w:t xml:space="preserve"/>
      </w:r>
    </w:p>
    <w:p>
      <w:pPr>
        <w:pStyle w:val="Heading2"/>
        <w:spacing w:after="120" w:before="200"/>
      </w:pPr>
      <w:r>
        <w:rPr>
          <w:rFonts w:ascii="Arial" w:cs="Arial" w:eastAsia="Arial" w:hAnsi="Arial"/>
          <w:b/>
          <w:bCs/>
          <w:color w:val="0D4F5C"/>
          <w:sz w:val="26"/>
          <w:szCs w:val="26"/>
        </w:rPr>
        <w:t xml:space="preserve">Step 1 — Define Recipients</w:t>
      </w:r>
    </w:p>
    <w:p>
      <w:pPr>
        <w:spacing w:after="80" w:before="80"/>
      </w:pPr>
      <w:r>
        <w:rPr>
          <w:rFonts w:ascii="Arial" w:cs="Arial" w:eastAsia="Arial" w:hAnsi="Arial"/>
          <w:color w:val="1A1A1A"/>
          <w:sz w:val="20"/>
          <w:szCs w:val="20"/>
        </w:rPr>
        <w:t xml:space="preserve">Set Recipients to All Contacts. This ensures RISE evaluates every contact in the agent's database against the trigger conditions — not just future ones. This is required for the Campaign to function correctly for both existing and incoming contacts.</w:t>
      </w:r>
    </w:p>
    <w:p>
      <w:pPr>
        <w:spacing w:after="80" w:before="80"/>
      </w:pPr>
      <w:r>
        <w:t xml:space="preserve"/>
      </w:r>
    </w:p>
    <w:p>
      <w:pPr>
        <w:spacing w:after="160" w:before="160"/>
      </w:pPr>
      <w:r>
        <w:drawing>
          <wp:inline distT="0" distB="0" distL="0" distR="0">
            <wp:extent cx="4000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00500" cy="1714500"/>
                    </a:xfrm>
                    <a:prstGeom prst="rect">
                      <a:avLst/>
                    </a:prstGeom>
                  </pic:spPr>
                </pic:pic>
              </a:graphicData>
            </a:graphic>
          </wp:inline>
        </w:drawing>
      </w:r>
    </w:p>
    <w:p>
      <w:pPr>
        <w:spacing w:after="80" w:before="80"/>
      </w:pPr>
      <w:r>
        <w:t xml:space="preserve"/>
      </w:r>
    </w:p>
    <w:p>
      <w:pPr>
        <w:pStyle w:val="Heading2"/>
        <w:spacing w:after="120" w:before="200"/>
      </w:pPr>
      <w:r>
        <w:rPr>
          <w:rFonts w:ascii="Arial" w:cs="Arial" w:eastAsia="Arial" w:hAnsi="Arial"/>
          <w:b/>
          <w:bCs/>
          <w:color w:val="0D4F5C"/>
          <w:sz w:val="26"/>
          <w:szCs w:val="26"/>
        </w:rPr>
        <w:t xml:space="preserve">Step 2 — Set the Trigger</w:t>
      </w:r>
    </w:p>
    <w:p>
      <w:pPr>
        <w:spacing w:after="80" w:before="80"/>
      </w:pPr>
      <w:r>
        <w:rPr>
          <w:rFonts w:ascii="Arial" w:cs="Arial" w:eastAsia="Arial" w:hAnsi="Arial"/>
          <w:color w:val="1A1A1A"/>
          <w:sz w:val="20"/>
          <w:szCs w:val="20"/>
        </w:rPr>
        <w:t xml:space="preserve">Set Trigger to Stage Change. Select the appropriate stage from the dropdown. Then choose the enrollment scope:</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Option</w:t>
            </w:r>
          </w:p>
        </w:tc>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Behavior</w:t>
            </w:r>
          </w:p>
        </w:tc>
        <w:tc>
          <w:tcPr>
            <w:tcW w:type="dxa" w:w="31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When to Use</w:t>
            </w:r>
          </w:p>
        </w:tc>
      </w:tr>
      <w:tr>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Only new contacts in Stage</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Applies to contacts who enter the stage after the Campaign starts</w:t>
            </w:r>
          </w:p>
        </w:tc>
        <w:tc>
          <w:tcPr>
            <w:tcW w:type="dxa" w:w="31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When agents already have contacts in the stage with manual tasks in place</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All contacts in Stage</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Applies to all current contacts in the stage plus all future ones</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When deploying for the first time with no prior task history</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6F4F1" w:val="clear"/>
            <w:tcMar>
              <w:top w:type="dxa" w:w="140"/>
              <w:left w:type="dxa" w:w="200"/>
              <w:bottom w:type="dxa" w:w="140"/>
              <w:right w:type="dxa" w:w="200"/>
            </w:tcMar>
          </w:tcPr>
          <w:p>
            <w:r>
              <w:rPr>
                <w:rFonts w:ascii="Arial" w:cs="Arial" w:eastAsia="Arial" w:hAnsi="Arial"/>
                <w:b/>
                <w:bCs/>
                <w:color w:val="0D4F5C"/>
                <w:sz w:val="20"/>
                <w:szCs w:val="20"/>
              </w:rPr>
              <w:t xml:space="preserve">Recommendation:</w:t>
            </w:r>
            <w:r>
              <w:rPr>
                <w:rFonts w:ascii="Arial" w:cs="Arial" w:eastAsia="Arial" w:hAnsi="Arial"/>
                <w:color w:val="1A1A1A"/>
                <w:sz w:val="20"/>
                <w:szCs w:val="20"/>
              </w:rPr>
              <w:t xml:space="preserve">  When rolling out to a brokerage for the first time, use All contacts in Stage. If agents have been manually managing tasks and you are adding automation on top, use Only new contacts in Stage to avoid duplicate task creation.</w:t>
            </w:r>
          </w:p>
        </w:tc>
      </w:tr>
    </w:tbl>
    <w:p>
      <w:pPr>
        <w:spacing w:after="80" w:before="80"/>
      </w:pPr>
      <w:r>
        <w:t xml:space="preserve"/>
      </w:r>
    </w:p>
    <w:p>
      <w:pPr>
        <w:pStyle w:val="Heading2"/>
        <w:spacing w:after="120" w:before="200"/>
      </w:pPr>
      <w:r>
        <w:rPr>
          <w:rFonts w:ascii="Arial" w:cs="Arial" w:eastAsia="Arial" w:hAnsi="Arial"/>
          <w:b/>
          <w:bCs/>
          <w:color w:val="0D4F5C"/>
          <w:sz w:val="26"/>
          <w:szCs w:val="26"/>
        </w:rPr>
        <w:t xml:space="preserve">Step 3 — Add Contact Type Condition (Buyer/Seller Campaigns Only)</w:t>
      </w:r>
    </w:p>
    <w:p>
      <w:pPr>
        <w:spacing w:after="80" w:before="80"/>
      </w:pPr>
      <w:r>
        <w:rPr>
          <w:rFonts w:ascii="Arial" w:cs="Arial" w:eastAsia="Arial" w:hAnsi="Arial"/>
          <w:color w:val="1A1A1A"/>
          <w:sz w:val="20"/>
          <w:szCs w:val="20"/>
        </w:rPr>
        <w:t xml:space="preserve">For Buyer and Seller Campaigns, add a Contact Profile Detail condition:</w:t>
      </w:r>
    </w:p>
    <w:p>
      <w:pPr>
        <w:spacing w:after="80" w:before="80"/>
      </w:pPr>
      <w:r>
        <w:t xml:space="preserve"/>
      </w:r>
    </w:p>
    <w:p>
      <w:pPr>
        <w:pStyle w:val="ListParagraph"/>
        <w:numPr>
          <w:ilvl w:val="0"/>
          <w:numId w:val="2"/>
        </w:numPr>
        <w:spacing w:after="60" w:before="60"/>
      </w:pPr>
      <w:r>
        <w:rPr>
          <w:rFonts w:ascii="Arial" w:cs="Arial" w:eastAsia="Arial" w:hAnsi="Arial"/>
          <w:color w:val="1A1A1A"/>
          <w:sz w:val="20"/>
          <w:szCs w:val="20"/>
        </w:rPr>
        <w:t xml:space="preserve">Click Add Condition below the trigger</w:t>
      </w:r>
    </w:p>
    <w:p>
      <w:pPr>
        <w:pStyle w:val="ListParagraph"/>
        <w:numPr>
          <w:ilvl w:val="0"/>
          <w:numId w:val="2"/>
        </w:numPr>
        <w:spacing w:after="60" w:before="60"/>
      </w:pPr>
      <w:r>
        <w:rPr>
          <w:rFonts w:ascii="Arial" w:cs="Arial" w:eastAsia="Arial" w:hAnsi="Arial"/>
          <w:color w:val="1A1A1A"/>
          <w:sz w:val="20"/>
          <w:szCs w:val="20"/>
        </w:rPr>
        <w:t xml:space="preserve">Select Contact Profile Detail</w:t>
      </w:r>
    </w:p>
    <w:p>
      <w:pPr>
        <w:pStyle w:val="ListParagraph"/>
        <w:numPr>
          <w:ilvl w:val="0"/>
          <w:numId w:val="2"/>
        </w:numPr>
        <w:spacing w:after="60" w:before="60"/>
      </w:pPr>
      <w:r>
        <w:rPr>
          <w:rFonts w:ascii="Arial" w:cs="Arial" w:eastAsia="Arial" w:hAnsi="Arial"/>
          <w:color w:val="1A1A1A"/>
          <w:sz w:val="20"/>
          <w:szCs w:val="20"/>
        </w:rPr>
        <w:t xml:space="preserve">Set the field to Contact Type, operator to Is equal to, and value to Buyer or Seller</w:t>
      </w:r>
    </w:p>
    <w:p>
      <w:pPr>
        <w:spacing w:after="80" w:before="80"/>
      </w:pPr>
      <w:r>
        <w:t xml:space="preserve"/>
      </w:r>
    </w:p>
    <w:p>
      <w:pPr>
        <w:spacing w:after="160" w:before="160"/>
      </w:pPr>
      <w:r>
        <w:drawing>
          <wp:inline distT="0" distB="0" distL="0" distR="0">
            <wp:extent cx="4000500" cy="133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1333500"/>
                    </a:xfrm>
                    <a:prstGeom prst="rect">
                      <a:avLst/>
                    </a:prstGeom>
                  </pic:spPr>
                </pic:pic>
              </a:graphicData>
            </a:graphic>
          </wp:inline>
        </w:drawing>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FF8E6" w:val="clear"/>
            <w:tcMar>
              <w:top w:type="dxa" w:w="140"/>
              <w:left w:type="dxa" w:w="200"/>
              <w:bottom w:type="dxa" w:w="140"/>
              <w:right w:type="dxa" w:w="200"/>
            </w:tcMar>
          </w:tcPr>
          <w:p>
            <w:r>
              <w:rPr>
                <w:rFonts w:ascii="Arial" w:cs="Arial" w:eastAsia="Arial" w:hAnsi="Arial"/>
                <w:b/>
                <w:bCs/>
                <w:color w:val="0D4F5C"/>
                <w:sz w:val="20"/>
                <w:szCs w:val="20"/>
              </w:rPr>
              <w:t xml:space="preserve">Important:</w:t>
            </w:r>
            <w:r>
              <w:rPr>
                <w:rFonts w:ascii="Arial" w:cs="Arial" w:eastAsia="Arial" w:hAnsi="Arial"/>
                <w:color w:val="1A1A1A"/>
                <w:sz w:val="20"/>
                <w:szCs w:val="20"/>
              </w:rPr>
              <w:t xml:space="preserve">  Conditions in RISE use AND logic. If you add Stage = Warm AND Contact Type = Buyer, the contact must meet both conditions. Never combine Buyer and Seller in a single Campaign — build one per Contact Type.</w:t>
            </w:r>
          </w:p>
        </w:tc>
      </w:tr>
    </w:tbl>
    <w:p>
      <w:pPr>
        <w:spacing w:after="80" w:before="80"/>
      </w:pPr>
      <w:r>
        <w:t xml:space="preserve"/>
      </w:r>
    </w:p>
    <w:p>
      <w:pPr>
        <w:pStyle w:val="Heading2"/>
        <w:spacing w:after="120" w:before="200"/>
      </w:pPr>
      <w:r>
        <w:rPr>
          <w:rFonts w:ascii="Arial" w:cs="Arial" w:eastAsia="Arial" w:hAnsi="Arial"/>
          <w:b/>
          <w:bCs/>
          <w:color w:val="0D4F5C"/>
          <w:sz w:val="26"/>
          <w:szCs w:val="26"/>
        </w:rPr>
        <w:t xml:space="preserve">Step 4 — Build the Task Flow</w:t>
      </w:r>
    </w:p>
    <w:p>
      <w:pPr>
        <w:spacing w:after="80" w:before="80"/>
      </w:pPr>
      <w:r>
        <w:rPr>
          <w:rFonts w:ascii="Arial" w:cs="Arial" w:eastAsia="Arial" w:hAnsi="Arial"/>
          <w:color w:val="1A1A1A"/>
          <w:sz w:val="20"/>
          <w:szCs w:val="20"/>
        </w:rPr>
        <w:t xml:space="preserve">Add Create Task actions to the Campaign. Stack multiple tasks for tasks that should trigger on the same day. Use Delay blocks to space out task groups across days. After each Delay, add a Condition block to re-check that the contact is still in the correct stage before the next task group fires.</w:t>
      </w:r>
    </w:p>
    <w:p>
      <w:pPr>
        <w:spacing w:after="80" w:before="80"/>
      </w:pPr>
      <w:r>
        <w:t xml:space="preserve"/>
      </w:r>
    </w:p>
    <w:p>
      <w:pPr>
        <w:spacing w:after="160" w:before="160"/>
      </w:pPr>
      <w:r>
        <w:drawing>
          <wp:inline distT="0" distB="0" distL="0" distR="0">
            <wp:extent cx="3429000" cy="495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953000"/>
                    </a:xfrm>
                    <a:prstGeom prst="rect">
                      <a:avLst/>
                    </a:prstGeom>
                  </pic:spPr>
                </pic:pic>
              </a:graphicData>
            </a:graphic>
          </wp:inline>
        </w:drawing>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6F4F1" w:val="clear"/>
            <w:tcMar>
              <w:top w:type="dxa" w:w="140"/>
              <w:left w:type="dxa" w:w="200"/>
              <w:bottom w:type="dxa" w:w="140"/>
              <w:right w:type="dxa" w:w="200"/>
            </w:tcMar>
          </w:tcPr>
          <w:p>
            <w:r>
              <w:rPr>
                <w:rFonts w:ascii="Arial" w:cs="Arial" w:eastAsia="Arial" w:hAnsi="Arial"/>
                <w:b/>
                <w:bCs/>
                <w:color w:val="0D4F5C"/>
                <w:sz w:val="20"/>
                <w:szCs w:val="20"/>
              </w:rPr>
              <w:t xml:space="preserve">Why stage conditions after delays matter:</w:t>
            </w:r>
          </w:p>
          <w:p>
            <w:pPr>
              <w:spacing w:after="80" w:before="80"/>
            </w:pPr>
            <w:r>
              <w:t xml:space="preserve"/>
            </w:r>
          </w:p>
          <w:p>
            <w:r>
              <w:rPr>
                <w:rFonts w:ascii="Arial" w:cs="Arial" w:eastAsia="Arial" w:hAnsi="Arial"/>
                <w:color w:val="1A1A1A"/>
                <w:sz w:val="20"/>
                <w:szCs w:val="20"/>
              </w:rPr>
              <w:t xml:space="preserve">If a contact progresses to a new stage (e.g., Lead to Hot) during a delay period, the remaining Lead tasks should not fire. A Stage condition after each Delay block acts as an exit gate. If the contact no longer matches, they drop out of the flow. This is the equivalent of Engage stopping a task plan when a contact moves stages.</w:t>
            </w:r>
          </w:p>
        </w:tc>
      </w:tr>
    </w:tbl>
    <w:p>
      <w:pPr>
        <w:spacing w:after="80" w:before="80"/>
      </w:pPr>
      <w:r>
        <w:t xml:space="preserve"/>
      </w:r>
    </w:p>
    <w:p>
      <w:r>
        <w:br w:type="page"/>
      </w:r>
    </w:p>
    <w:p>
      <w:pPr>
        <w:pStyle w:val="Heading2"/>
        <w:spacing w:after="120" w:before="200"/>
      </w:pPr>
      <w:r>
        <w:rPr>
          <w:rFonts w:ascii="Arial" w:cs="Arial" w:eastAsia="Arial" w:hAnsi="Arial"/>
          <w:b/>
          <w:bCs/>
          <w:color w:val="0D4F5C"/>
          <w:sz w:val="26"/>
          <w:szCs w:val="26"/>
        </w:rPr>
        <w:t xml:space="preserve">Step 5 — Deploy Using Send As</w:t>
      </w:r>
    </w:p>
    <w:p>
      <w:pPr>
        <w:spacing w:after="80" w:before="80"/>
      </w:pPr>
      <w:r>
        <w:rPr>
          <w:rFonts w:ascii="Arial" w:cs="Arial" w:eastAsia="Arial" w:hAnsi="Arial"/>
          <w:color w:val="1A1A1A"/>
          <w:sz w:val="20"/>
          <w:szCs w:val="20"/>
        </w:rPr>
        <w:t xml:space="preserve">Once the Campaign is built and reviewed, deploy it to your agents using the Send As functionality:</w:t>
      </w:r>
    </w:p>
    <w:p>
      <w:pPr>
        <w:spacing w:after="80" w:before="80"/>
      </w:pPr>
      <w:r>
        <w:t xml:space="preserve"/>
      </w:r>
    </w:p>
    <w:p>
      <w:pPr>
        <w:pStyle w:val="ListParagraph"/>
        <w:numPr>
          <w:ilvl w:val="0"/>
          <w:numId w:val="3"/>
        </w:numPr>
        <w:spacing w:after="60" w:before="60"/>
      </w:pPr>
      <w:r>
        <w:rPr>
          <w:rFonts w:ascii="Arial" w:cs="Arial" w:eastAsia="Arial" w:hAnsi="Arial"/>
          <w:color w:val="1A1A1A"/>
          <w:sz w:val="20"/>
          <w:szCs w:val="20"/>
        </w:rPr>
        <w:t xml:space="preserve">In the Campaign builder, locate the Send As option</w:t>
      </w:r>
    </w:p>
    <w:p>
      <w:pPr>
        <w:pStyle w:val="ListParagraph"/>
        <w:numPr>
          <w:ilvl w:val="0"/>
          <w:numId w:val="3"/>
        </w:numPr>
        <w:spacing w:after="60" w:before="60"/>
      </w:pPr>
      <w:r>
        <w:rPr>
          <w:rFonts w:ascii="Arial" w:cs="Arial" w:eastAsia="Arial" w:hAnsi="Arial"/>
          <w:color w:val="1A1A1A"/>
          <w:sz w:val="20"/>
          <w:szCs w:val="20"/>
        </w:rPr>
        <w:t xml:space="preserve">Select Choose Someone Else</w:t>
      </w:r>
    </w:p>
    <w:p>
      <w:pPr>
        <w:pStyle w:val="ListParagraph"/>
        <w:numPr>
          <w:ilvl w:val="0"/>
          <w:numId w:val="3"/>
        </w:numPr>
        <w:spacing w:after="60" w:before="60"/>
      </w:pPr>
      <w:r>
        <w:rPr>
          <w:rFonts w:ascii="Arial" w:cs="Arial" w:eastAsia="Arial" w:hAnsi="Arial"/>
          <w:color w:val="1A1A1A"/>
          <w:sz w:val="20"/>
          <w:szCs w:val="20"/>
        </w:rPr>
        <w:t xml:space="preserve">Select the agents or offices to receive this Campaign</w:t>
      </w:r>
    </w:p>
    <w:p>
      <w:pPr>
        <w:pStyle w:val="ListParagraph"/>
        <w:numPr>
          <w:ilvl w:val="0"/>
          <w:numId w:val="3"/>
        </w:numPr>
        <w:spacing w:after="60" w:before="60"/>
      </w:pPr>
      <w:r>
        <w:rPr>
          <w:rFonts w:ascii="Arial" w:cs="Arial" w:eastAsia="Arial" w:hAnsi="Arial"/>
          <w:color w:val="1A1A1A"/>
          <w:sz w:val="20"/>
          <w:szCs w:val="20"/>
        </w:rPr>
        <w:t xml:space="preserve">Click Apply</w:t>
      </w:r>
    </w:p>
    <w:p>
      <w:pPr>
        <w:pStyle w:val="ListParagraph"/>
        <w:numPr>
          <w:ilvl w:val="0"/>
          <w:numId w:val="3"/>
        </w:numPr>
        <w:spacing w:after="60" w:before="60"/>
      </w:pPr>
      <w:r>
        <w:rPr>
          <w:rFonts w:ascii="Arial" w:cs="Arial" w:eastAsia="Arial" w:hAnsi="Arial"/>
          <w:color w:val="1A1A1A"/>
          <w:sz w:val="20"/>
          <w:szCs w:val="20"/>
        </w:rPr>
        <w:t xml:space="preserve">Return to the Campaign and click Start to activate</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E6F4F1" w:val="clear"/>
            <w:tcMar>
              <w:top w:type="dxa" w:w="140"/>
              <w:left w:type="dxa" w:w="200"/>
              <w:bottom w:type="dxa" w:w="140"/>
              <w:right w:type="dxa" w:w="200"/>
            </w:tcMar>
          </w:tcPr>
          <w:p>
            <w:r>
              <w:rPr>
                <w:rFonts w:ascii="Arial" w:cs="Arial" w:eastAsia="Arial" w:hAnsi="Arial"/>
                <w:b/>
                <w:bCs/>
                <w:color w:val="0D4F5C"/>
                <w:sz w:val="20"/>
                <w:szCs w:val="20"/>
              </w:rPr>
              <w:t xml:space="preserve">Note:</w:t>
            </w:r>
            <w:r>
              <w:rPr>
                <w:rFonts w:ascii="Arial" w:cs="Arial" w:eastAsia="Arial" w:hAnsi="Arial"/>
                <w:color w:val="1A1A1A"/>
                <w:sz w:val="20"/>
                <w:szCs w:val="20"/>
              </w:rPr>
              <w:t xml:space="preserve">  The Campaign will not activate until Start is clicked. Always review the full flow before starting. You can deploy to a single office or a specific set of agents rather than the full brokerage if needed.</w:t>
            </w:r>
          </w:p>
        </w:tc>
      </w:tr>
    </w:tbl>
    <w:p>
      <w:pPr>
        <w:spacing w:after="80" w:before="80"/>
      </w:pPr>
      <w:r>
        <w:t xml:space="preserve"/>
      </w:r>
    </w:p>
    <w:p>
      <w:r>
        <w:br w:type="page"/>
      </w:r>
    </w:p>
    <w:p>
      <w:pPr>
        <w:spacing w:after="80" w:before="320"/>
      </w:pPr>
      <w:r>
        <w:rPr>
          <w:rFonts w:ascii="Arial" w:cs="Arial" w:eastAsia="Arial" w:hAnsi="Arial"/>
          <w:b/>
          <w:bCs/>
          <w:color w:val="0D4F5C"/>
          <w:sz w:val="18"/>
          <w:szCs w:val="18"/>
        </w:rPr>
        <w:t xml:space="preserve">RECOMMENDED CONFIGURATIONS</w:t>
      </w:r>
    </w:p>
    <w:p>
      <w:pPr>
        <w:pStyle w:val="Heading1"/>
        <w:spacing w:after="160" w:before="160"/>
      </w:pPr>
      <w:r>
        <w:rPr>
          <w:rFonts w:ascii="Arial" w:cs="Arial" w:eastAsia="Arial" w:hAnsi="Arial"/>
          <w:b/>
          <w:bCs/>
          <w:color w:val="1A1A1A"/>
          <w:sz w:val="36"/>
          <w:szCs w:val="36"/>
        </w:rPr>
        <w:t xml:space="preserve">Campaign Build Specifications</w:t>
      </w:r>
    </w:p>
    <w:p>
      <w:pPr>
        <w:spacing w:after="80" w:before="80"/>
      </w:pPr>
      <w:r>
        <w:rPr>
          <w:rFonts w:ascii="Arial" w:cs="Arial" w:eastAsia="Arial" w:hAnsi="Arial"/>
          <w:color w:val="1A1A1A"/>
          <w:sz w:val="20"/>
          <w:szCs w:val="20"/>
        </w:rPr>
        <w:t xml:space="preserve">Build one Campaign per task plan type. The configurations below map directly to the Engage task plans.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4F5C" w:val="clear"/>
            <w:tcMar>
              <w:top w:type="dxa" w:w="120"/>
              <w:left w:type="dxa" w:w="200"/>
              <w:bottom w:type="dxa" w:w="120"/>
              <w:right w:type="dxa" w:w="200"/>
            </w:tcMar>
          </w:tcPr>
          <w:p>
            <w:r>
              <w:rPr>
                <w:rFonts w:ascii="Arial" w:cs="Arial" w:eastAsia="Arial" w:hAnsi="Arial"/>
                <w:b/>
                <w:bCs/>
                <w:color w:val="FFFFFF"/>
                <w:sz w:val="22"/>
                <w:szCs w:val="22"/>
              </w:rPr>
              <w:t xml:space="preserve">Campaign 1: Lead Task List</w:t>
            </w:r>
          </w:p>
        </w:tc>
      </w:tr>
      <w:tr>
        <w:tc>
          <w:tcPr>
            <w:tcW w:type="dxa" w:w="9360"/>
            <w:tcBorders>
              <w:top w:val="none" w:color="FFFFFF" w:sz="0"/>
              <w:left w:val="none" w:color="FFFFFF" w:sz="0"/>
              <w:bottom w:val="none" w:color="FFFFFF" w:sz="0"/>
              <w:right w:val="none" w:color="FFFFFF" w:sz="0"/>
            </w:tcBorders>
            <w:shd w:fill="E6F4F1" w:val="clear"/>
            <w:tcMar>
              <w:top w:type="dxa" w:w="120"/>
              <w:left w:type="dxa" w:w="200"/>
              <w:bottom w:type="dxa" w:w="120"/>
              <w:right w:type="dxa" w:w="200"/>
            </w:tcMar>
          </w:tcPr>
          <w:p>
            <w:r>
              <w:rPr>
                <w:rFonts w:ascii="Arial" w:cs="Arial" w:eastAsia="Arial" w:hAnsi="Arial"/>
                <w:b/>
                <w:bCs/>
                <w:color w:val="0D4F5C"/>
                <w:sz w:val="20"/>
                <w:szCs w:val="20"/>
              </w:rPr>
              <w:t xml:space="preserve">Configuration</w:t>
            </w:r>
          </w:p>
          <w:p>
            <w:r>
              <w:rPr>
                <w:rFonts w:ascii="Arial" w:cs="Arial" w:eastAsia="Arial" w:hAnsi="Arial"/>
                <w:color w:val="1A1A1A"/>
                <w:sz w:val="20"/>
                <w:szCs w:val="20"/>
              </w:rPr>
              <w:t xml:space="preserve">Recipients: All Contacts  |  Trigger: Stage Change → Lead  |  Contact Type Condition: None</w:t>
            </w:r>
          </w:p>
          <w:p>
            <w:pPr>
              <w:spacing w:after="80" w:before="80"/>
            </w:pPr>
            <w:r>
              <w:t xml:space="preserve"/>
            </w:r>
          </w:p>
          <w:p>
            <w:r>
              <w:rPr>
                <w:rFonts w:ascii="Arial" w:cs="Arial" w:eastAsia="Arial" w:hAnsi="Arial"/>
                <w:b/>
                <w:bCs/>
                <w:color w:val="0D4F5C"/>
                <w:sz w:val="20"/>
                <w:szCs w:val="20"/>
              </w:rPr>
              <w:t xml:space="preserve">When to deploy this</w:t>
            </w:r>
          </w:p>
          <w:p>
            <w:r>
              <w:rPr>
                <w:rFonts w:ascii="Arial" w:cs="Arial" w:eastAsia="Arial" w:hAnsi="Arial"/>
                <w:color w:val="1A1A1A"/>
                <w:sz w:val="20"/>
                <w:szCs w:val="20"/>
              </w:rPr>
              <w:t xml:space="preserve">Deploy for all agents. Tasks should fire for any contact entering the Lead stage, regardless of buyer/seller classification — this is typically unknown at the lead stage.</w:t>
            </w:r>
          </w:p>
          <w:p>
            <w:pPr>
              <w:spacing w:after="80" w:before="80"/>
            </w:pPr>
            <w:r>
              <w:t xml:space="preserve"/>
            </w:r>
          </w:p>
          <w:p>
            <w:r>
              <w:rPr>
                <w:rFonts w:ascii="Arial" w:cs="Arial" w:eastAsia="Arial" w:hAnsi="Arial"/>
                <w:b/>
                <w:bCs/>
                <w:color w:val="0D4F5C"/>
                <w:sz w:val="20"/>
                <w:szCs w:val="20"/>
              </w:rPr>
              <w:t xml:space="preserve">Build steps</w:t>
            </w:r>
          </w:p>
          <w:p>
            <w:pPr>
              <w:pStyle w:val="ListParagraph"/>
              <w:numPr>
                <w:ilvl w:val="0"/>
                <w:numId w:val="4"/>
              </w:numPr>
              <w:spacing w:after="60" w:before="60"/>
            </w:pPr>
            <w:r>
              <w:rPr>
                <w:rFonts w:ascii="Arial" w:cs="Arial" w:eastAsia="Arial" w:hAnsi="Arial"/>
                <w:color w:val="1A1A1A"/>
                <w:sz w:val="20"/>
                <w:szCs w:val="20"/>
              </w:rPr>
              <w:t xml:space="preserve">Set Recipients to All Contacts</w:t>
            </w:r>
          </w:p>
          <w:p>
            <w:pPr>
              <w:pStyle w:val="ListParagraph"/>
              <w:numPr>
                <w:ilvl w:val="0"/>
                <w:numId w:val="4"/>
              </w:numPr>
              <w:spacing w:after="60" w:before="60"/>
            </w:pPr>
            <w:r>
              <w:rPr>
                <w:rFonts w:ascii="Arial" w:cs="Arial" w:eastAsia="Arial" w:hAnsi="Arial"/>
                <w:color w:val="1A1A1A"/>
                <w:sz w:val="20"/>
                <w:szCs w:val="20"/>
              </w:rPr>
              <w:t xml:space="preserve">Set Trigger: Stage Change → Lead</w:t>
            </w:r>
          </w:p>
          <w:p>
            <w:pPr>
              <w:pStyle w:val="ListParagraph"/>
              <w:numPr>
                <w:ilvl w:val="0"/>
                <w:numId w:val="4"/>
              </w:numPr>
              <w:spacing w:after="60" w:before="60"/>
            </w:pPr>
            <w:r>
              <w:rPr>
                <w:rFonts w:ascii="Arial" w:cs="Arial" w:eastAsia="Arial" w:hAnsi="Arial"/>
                <w:color w:val="1A1A1A"/>
                <w:sz w:val="20"/>
                <w:szCs w:val="20"/>
              </w:rPr>
              <w:t xml:space="preserve">No Contact Type condition required</w:t>
            </w:r>
          </w:p>
          <w:p>
            <w:pPr>
              <w:pStyle w:val="ListParagraph"/>
              <w:numPr>
                <w:ilvl w:val="0"/>
                <w:numId w:val="4"/>
              </w:numPr>
              <w:spacing w:after="60" w:before="60"/>
            </w:pPr>
            <w:r>
              <w:rPr>
                <w:rFonts w:ascii="Arial" w:cs="Arial" w:eastAsia="Arial" w:hAnsi="Arial"/>
                <w:color w:val="1A1A1A"/>
                <w:sz w:val="20"/>
                <w:szCs w:val="20"/>
              </w:rPr>
              <w:t xml:space="preserve">Add Day 1 tasks: initial call, social media connection</w:t>
            </w:r>
          </w:p>
          <w:p>
            <w:pPr>
              <w:pStyle w:val="ListParagraph"/>
              <w:numPr>
                <w:ilvl w:val="0"/>
                <w:numId w:val="4"/>
              </w:numPr>
              <w:spacing w:after="60" w:before="60"/>
            </w:pPr>
            <w:r>
              <w:rPr>
                <w:rFonts w:ascii="Arial" w:cs="Arial" w:eastAsia="Arial" w:hAnsi="Arial"/>
                <w:color w:val="1A1A1A"/>
                <w:sz w:val="20"/>
                <w:szCs w:val="20"/>
              </w:rPr>
              <w:t xml:space="preserve">Add Delay (2–3 days) then Condition: Stage = Lead</w:t>
            </w:r>
          </w:p>
          <w:p>
            <w:pPr>
              <w:pStyle w:val="ListParagraph"/>
              <w:numPr>
                <w:ilvl w:val="0"/>
                <w:numId w:val="4"/>
              </w:numPr>
              <w:spacing w:after="60" w:before="60"/>
            </w:pPr>
            <w:r>
              <w:rPr>
                <w:rFonts w:ascii="Arial" w:cs="Arial" w:eastAsia="Arial" w:hAnsi="Arial"/>
                <w:color w:val="1A1A1A"/>
                <w:sz w:val="20"/>
                <w:szCs w:val="20"/>
              </w:rPr>
              <w:t xml:space="preserve">Add Day 3 tasks: follow-up email, status update</w:t>
            </w:r>
          </w:p>
          <w:p>
            <w:pPr>
              <w:pStyle w:val="ListParagraph"/>
              <w:numPr>
                <w:ilvl w:val="0"/>
                <w:numId w:val="4"/>
              </w:numPr>
              <w:spacing w:after="60" w:before="60"/>
            </w:pPr>
            <w:r>
              <w:rPr>
                <w:rFonts w:ascii="Arial" w:cs="Arial" w:eastAsia="Arial" w:hAnsi="Arial"/>
                <w:color w:val="1A1A1A"/>
                <w:sz w:val="20"/>
                <w:szCs w:val="20"/>
              </w:rPr>
              <w:t xml:space="preserve">Add Delay (4 days) then Condition: Stage = Lead</w:t>
            </w:r>
          </w:p>
          <w:p>
            <w:pPr>
              <w:pStyle w:val="ListParagraph"/>
              <w:numPr>
                <w:ilvl w:val="0"/>
                <w:numId w:val="4"/>
              </w:numPr>
              <w:spacing w:after="60" w:before="60"/>
            </w:pPr>
            <w:r>
              <w:rPr>
                <w:rFonts w:ascii="Arial" w:cs="Arial" w:eastAsia="Arial" w:hAnsi="Arial"/>
                <w:color w:val="1A1A1A"/>
                <w:sz w:val="20"/>
                <w:szCs w:val="20"/>
              </w:rPr>
              <w:t xml:space="preserve">Add Day 7 tasks: add to mailing list, set up neighborhood news</w:t>
            </w:r>
          </w:p>
          <w:p>
            <w:pPr>
              <w:pStyle w:val="ListParagraph"/>
              <w:numPr>
                <w:ilvl w:val="0"/>
                <w:numId w:val="4"/>
              </w:numPr>
              <w:spacing w:after="60" w:before="60"/>
            </w:pPr>
            <w:r>
              <w:rPr>
                <w:rFonts w:ascii="Arial" w:cs="Arial" w:eastAsia="Arial" w:hAnsi="Arial"/>
                <w:color w:val="1A1A1A"/>
                <w:sz w:val="20"/>
                <w:szCs w:val="20"/>
              </w:rPr>
              <w:t xml:space="preserve">Continue with delays and conditions per brokerage task cadence</w:t>
            </w:r>
          </w:p>
          <w:p>
            <w:pPr>
              <w:pStyle w:val="ListParagraph"/>
              <w:numPr>
                <w:ilvl w:val="0"/>
                <w:numId w:val="4"/>
              </w:numPr>
              <w:spacing w:after="60" w:before="60"/>
            </w:pPr>
            <w:r>
              <w:rPr>
                <w:rFonts w:ascii="Arial" w:cs="Arial" w:eastAsia="Arial" w:hAnsi="Arial"/>
                <w:color w:val="1A1A1A"/>
                <w:sz w:val="20"/>
                <w:szCs w:val="20"/>
              </w:rPr>
              <w:t xml:space="preserve">Deploy via Send As, then Start</w:t>
            </w:r>
          </w:p>
          <w:p>
            <w:pPr>
              <w:spacing w:after="80" w:before="80"/>
            </w:pPr>
            <w:r>
              <w:t xml:space="preserve"/>
            </w:r>
          </w:p>
          <w:p>
            <w:r>
              <w:rPr>
                <w:rFonts w:ascii="Arial" w:cs="Arial" w:eastAsia="Arial" w:hAnsi="Arial"/>
                <w:b/>
                <w:bCs/>
                <w:color w:val="0D4F5C"/>
                <w:sz w:val="20"/>
                <w:szCs w:val="20"/>
              </w:rPr>
              <w:t xml:space="preserve">Admin note:  </w:t>
            </w:r>
            <w:r>
              <w:rPr>
                <w:rFonts w:ascii="Arial" w:cs="Arial" w:eastAsia="Arial" w:hAnsi="Arial"/>
                <w:color w:val="1A1A1A"/>
                <w:sz w:val="20"/>
                <w:szCs w:val="20"/>
              </w:rPr>
              <w:t xml:space="preserve">Mirror the 12-task / 45-day cadence from the Engage Lead Marketing Plan as a starting template. Brokerages can customize task names and cadence to match their preferred workflow.</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4F5C" w:val="clear"/>
            <w:tcMar>
              <w:top w:type="dxa" w:w="120"/>
              <w:left w:type="dxa" w:w="200"/>
              <w:bottom w:type="dxa" w:w="120"/>
              <w:right w:type="dxa" w:w="200"/>
            </w:tcMar>
          </w:tcPr>
          <w:p>
            <w:r>
              <w:rPr>
                <w:rFonts w:ascii="Arial" w:cs="Arial" w:eastAsia="Arial" w:hAnsi="Arial"/>
                <w:b/>
                <w:bCs/>
                <w:color w:val="FFFFFF"/>
                <w:sz w:val="22"/>
                <w:szCs w:val="22"/>
              </w:rPr>
              <w:t xml:space="preserve">Campaign 2: Nurture Task List</w:t>
            </w:r>
          </w:p>
        </w:tc>
      </w:tr>
      <w:tr>
        <w:tc>
          <w:tcPr>
            <w:tcW w:type="dxa" w:w="9360"/>
            <w:tcBorders>
              <w:top w:val="none" w:color="FFFFFF" w:sz="0"/>
              <w:left w:val="none" w:color="FFFFFF" w:sz="0"/>
              <w:bottom w:val="none" w:color="FFFFFF" w:sz="0"/>
              <w:right w:val="none" w:color="FFFFFF" w:sz="0"/>
            </w:tcBorders>
            <w:shd w:fill="E6F4F1" w:val="clear"/>
            <w:tcMar>
              <w:top w:type="dxa" w:w="120"/>
              <w:left w:type="dxa" w:w="200"/>
              <w:bottom w:type="dxa" w:w="120"/>
              <w:right w:type="dxa" w:w="200"/>
            </w:tcMar>
          </w:tcPr>
          <w:p>
            <w:r>
              <w:rPr>
                <w:rFonts w:ascii="Arial" w:cs="Arial" w:eastAsia="Arial" w:hAnsi="Arial"/>
                <w:b/>
                <w:bCs/>
                <w:color w:val="0D4F5C"/>
                <w:sz w:val="20"/>
                <w:szCs w:val="20"/>
              </w:rPr>
              <w:t xml:space="preserve">Configuration</w:t>
            </w:r>
          </w:p>
          <w:p>
            <w:r>
              <w:rPr>
                <w:rFonts w:ascii="Arial" w:cs="Arial" w:eastAsia="Arial" w:hAnsi="Arial"/>
                <w:color w:val="1A1A1A"/>
                <w:sz w:val="20"/>
                <w:szCs w:val="20"/>
              </w:rPr>
              <w:t xml:space="preserve">Recipients: All Contacts  |  Trigger: Stage Change → Nurture  |  Contact Type Condition: None</w:t>
            </w:r>
          </w:p>
          <w:p>
            <w:pPr>
              <w:spacing w:after="80" w:before="80"/>
            </w:pPr>
            <w:r>
              <w:t xml:space="preserve"/>
            </w:r>
          </w:p>
          <w:p>
            <w:r>
              <w:rPr>
                <w:rFonts w:ascii="Arial" w:cs="Arial" w:eastAsia="Arial" w:hAnsi="Arial"/>
                <w:b/>
                <w:bCs/>
                <w:color w:val="0D4F5C"/>
                <w:sz w:val="20"/>
                <w:szCs w:val="20"/>
              </w:rPr>
              <w:t xml:space="preserve">When to deploy this</w:t>
            </w:r>
          </w:p>
          <w:p>
            <w:r>
              <w:rPr>
                <w:rFonts w:ascii="Arial" w:cs="Arial" w:eastAsia="Arial" w:hAnsi="Arial"/>
                <w:color w:val="1A1A1A"/>
                <w:sz w:val="20"/>
                <w:szCs w:val="20"/>
              </w:rPr>
              <w:t xml:space="preserve">Deploy for general nurture-stage contacts. Overlaps with Lead tasks for early-stage pipeline management. No buyer/seller split needed.</w:t>
            </w:r>
          </w:p>
          <w:p>
            <w:pPr>
              <w:spacing w:after="80" w:before="80"/>
            </w:pPr>
            <w:r>
              <w:t xml:space="preserve"/>
            </w:r>
          </w:p>
          <w:p>
            <w:r>
              <w:rPr>
                <w:rFonts w:ascii="Arial" w:cs="Arial" w:eastAsia="Arial" w:hAnsi="Arial"/>
                <w:b/>
                <w:bCs/>
                <w:color w:val="0D4F5C"/>
                <w:sz w:val="20"/>
                <w:szCs w:val="20"/>
              </w:rPr>
              <w:t xml:space="preserve">Build steps</w:t>
            </w:r>
          </w:p>
          <w:p>
            <w:pPr>
              <w:pStyle w:val="ListParagraph"/>
              <w:numPr>
                <w:ilvl w:val="0"/>
                <w:numId w:val="4"/>
              </w:numPr>
              <w:spacing w:after="60" w:before="60"/>
            </w:pPr>
            <w:r>
              <w:rPr>
                <w:rFonts w:ascii="Arial" w:cs="Arial" w:eastAsia="Arial" w:hAnsi="Arial"/>
                <w:color w:val="1A1A1A"/>
                <w:sz w:val="20"/>
                <w:szCs w:val="20"/>
              </w:rPr>
              <w:t xml:space="preserve">Set Recipients to All Contacts</w:t>
            </w:r>
          </w:p>
          <w:p>
            <w:pPr>
              <w:pStyle w:val="ListParagraph"/>
              <w:numPr>
                <w:ilvl w:val="0"/>
                <w:numId w:val="4"/>
              </w:numPr>
              <w:spacing w:after="60" w:before="60"/>
            </w:pPr>
            <w:r>
              <w:rPr>
                <w:rFonts w:ascii="Arial" w:cs="Arial" w:eastAsia="Arial" w:hAnsi="Arial"/>
                <w:color w:val="1A1A1A"/>
                <w:sz w:val="20"/>
                <w:szCs w:val="20"/>
              </w:rPr>
              <w:t xml:space="preserve">Set Trigger: Stage Change → Nurture</w:t>
            </w:r>
          </w:p>
          <w:p>
            <w:pPr>
              <w:pStyle w:val="ListParagraph"/>
              <w:numPr>
                <w:ilvl w:val="0"/>
                <w:numId w:val="4"/>
              </w:numPr>
              <w:spacing w:after="60" w:before="60"/>
            </w:pPr>
            <w:r>
              <w:rPr>
                <w:rFonts w:ascii="Arial" w:cs="Arial" w:eastAsia="Arial" w:hAnsi="Arial"/>
                <w:color w:val="1A1A1A"/>
                <w:sz w:val="20"/>
                <w:szCs w:val="20"/>
              </w:rPr>
              <w:t xml:space="preserve">Add tasks: mailing list check, subscription setup, event invitations</w:t>
            </w:r>
          </w:p>
          <w:p>
            <w:pPr>
              <w:pStyle w:val="ListParagraph"/>
              <w:numPr>
                <w:ilvl w:val="0"/>
                <w:numId w:val="4"/>
              </w:numPr>
              <w:spacing w:after="60" w:before="60"/>
            </w:pPr>
            <w:r>
              <w:rPr>
                <w:rFonts w:ascii="Arial" w:cs="Arial" w:eastAsia="Arial" w:hAnsi="Arial"/>
                <w:color w:val="1A1A1A"/>
                <w:sz w:val="20"/>
                <w:szCs w:val="20"/>
              </w:rPr>
              <w:t xml:space="preserve">Use delays and stage conditions between task groups</w:t>
            </w:r>
          </w:p>
          <w:p>
            <w:pPr>
              <w:pStyle w:val="ListParagraph"/>
              <w:numPr>
                <w:ilvl w:val="0"/>
                <w:numId w:val="4"/>
              </w:numPr>
              <w:spacing w:after="60" w:before="60"/>
            </w:pPr>
            <w:r>
              <w:rPr>
                <w:rFonts w:ascii="Arial" w:cs="Arial" w:eastAsia="Arial" w:hAnsi="Arial"/>
                <w:color w:val="1A1A1A"/>
                <w:sz w:val="20"/>
                <w:szCs w:val="20"/>
              </w:rPr>
              <w:t xml:space="preserve">Deploy via Send As, then Start</w:t>
            </w:r>
          </w:p>
          <w:p>
            <w:pPr>
              <w:spacing w:after="80" w:before="80"/>
            </w:pPr>
            <w:r>
              <w:t xml:space="preserve"/>
            </w:r>
          </w:p>
          <w:p>
            <w:r>
              <w:rPr>
                <w:rFonts w:ascii="Arial" w:cs="Arial" w:eastAsia="Arial" w:hAnsi="Arial"/>
                <w:b/>
                <w:bCs/>
                <w:color w:val="0D4F5C"/>
                <w:sz w:val="20"/>
                <w:szCs w:val="20"/>
              </w:rPr>
              <w:t xml:space="preserve">Admin note:  </w:t>
            </w:r>
            <w:r>
              <w:rPr>
                <w:rFonts w:ascii="Arial" w:cs="Arial" w:eastAsia="Arial" w:hAnsi="Arial"/>
                <w:color w:val="1A1A1A"/>
                <w:sz w:val="20"/>
                <w:szCs w:val="20"/>
              </w:rPr>
              <w:t xml:space="preserve">This corresponds to the Engage Marketing Plan. Tasks here focus on relationship maintenance and pipeline nurturing rather than transaction-specific actions.</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4F5C" w:val="clear"/>
            <w:tcMar>
              <w:top w:type="dxa" w:w="120"/>
              <w:left w:type="dxa" w:w="200"/>
              <w:bottom w:type="dxa" w:w="120"/>
              <w:right w:type="dxa" w:w="200"/>
            </w:tcMar>
          </w:tcPr>
          <w:p>
            <w:r>
              <w:rPr>
                <w:rFonts w:ascii="Arial" w:cs="Arial" w:eastAsia="Arial" w:hAnsi="Arial"/>
                <w:b/>
                <w:bCs/>
                <w:color w:val="FFFFFF"/>
                <w:sz w:val="22"/>
                <w:szCs w:val="22"/>
              </w:rPr>
              <w:t xml:space="preserve">Campaign 3: Buyer Task List</w:t>
            </w:r>
          </w:p>
        </w:tc>
      </w:tr>
      <w:tr>
        <w:tc>
          <w:tcPr>
            <w:tcW w:type="dxa" w:w="9360"/>
            <w:tcBorders>
              <w:top w:val="none" w:color="FFFFFF" w:sz="0"/>
              <w:left w:val="none" w:color="FFFFFF" w:sz="0"/>
              <w:bottom w:val="none" w:color="FFFFFF" w:sz="0"/>
              <w:right w:val="none" w:color="FFFFFF" w:sz="0"/>
            </w:tcBorders>
            <w:shd w:fill="E6F4F1" w:val="clear"/>
            <w:tcMar>
              <w:top w:type="dxa" w:w="120"/>
              <w:left w:type="dxa" w:w="200"/>
              <w:bottom w:type="dxa" w:w="120"/>
              <w:right w:type="dxa" w:w="200"/>
            </w:tcMar>
          </w:tcPr>
          <w:p>
            <w:r>
              <w:rPr>
                <w:rFonts w:ascii="Arial" w:cs="Arial" w:eastAsia="Arial" w:hAnsi="Arial"/>
                <w:b/>
                <w:bCs/>
                <w:color w:val="0D4F5C"/>
                <w:sz w:val="20"/>
                <w:szCs w:val="20"/>
              </w:rPr>
              <w:t xml:space="preserve">Configuration</w:t>
            </w:r>
          </w:p>
          <w:p>
            <w:r>
              <w:rPr>
                <w:rFonts w:ascii="Arial" w:cs="Arial" w:eastAsia="Arial" w:hAnsi="Arial"/>
                <w:color w:val="1A1A1A"/>
                <w:sz w:val="20"/>
                <w:szCs w:val="20"/>
              </w:rPr>
              <w:t xml:space="preserve">Recipients: All Contacts  |  Trigger: Stage Change → Warm or Hot  |  Contact Type Condition: Contact Type = Buyer</w:t>
            </w:r>
          </w:p>
          <w:p>
            <w:pPr>
              <w:spacing w:after="80" w:before="80"/>
            </w:pPr>
            <w:r>
              <w:t xml:space="preserve"/>
            </w:r>
          </w:p>
          <w:p>
            <w:r>
              <w:rPr>
                <w:rFonts w:ascii="Arial" w:cs="Arial" w:eastAsia="Arial" w:hAnsi="Arial"/>
                <w:b/>
                <w:bCs/>
                <w:color w:val="0D4F5C"/>
                <w:sz w:val="20"/>
                <w:szCs w:val="20"/>
              </w:rPr>
              <w:t xml:space="preserve">When to deploy this</w:t>
            </w:r>
          </w:p>
          <w:p>
            <w:r>
              <w:rPr>
                <w:rFonts w:ascii="Arial" w:cs="Arial" w:eastAsia="Arial" w:hAnsi="Arial"/>
                <w:color w:val="1A1A1A"/>
                <w:sz w:val="20"/>
                <w:szCs w:val="20"/>
              </w:rPr>
              <w:t xml:space="preserve">Deploy for buyer-specific task automation. The Contact Type = Buyer condition is required to ensure these tasks only fire for classified buyers.</w:t>
            </w:r>
          </w:p>
          <w:p>
            <w:pPr>
              <w:spacing w:after="80" w:before="80"/>
            </w:pPr>
            <w:r>
              <w:t xml:space="preserve"/>
            </w:r>
          </w:p>
          <w:p>
            <w:r>
              <w:rPr>
                <w:rFonts w:ascii="Arial" w:cs="Arial" w:eastAsia="Arial" w:hAnsi="Arial"/>
                <w:b/>
                <w:bCs/>
                <w:color w:val="0D4F5C"/>
                <w:sz w:val="20"/>
                <w:szCs w:val="20"/>
              </w:rPr>
              <w:t xml:space="preserve">Build steps</w:t>
            </w:r>
          </w:p>
          <w:p>
            <w:pPr>
              <w:pStyle w:val="ListParagraph"/>
              <w:numPr>
                <w:ilvl w:val="0"/>
                <w:numId w:val="4"/>
              </w:numPr>
              <w:spacing w:after="60" w:before="60"/>
            </w:pPr>
            <w:r>
              <w:rPr>
                <w:rFonts w:ascii="Arial" w:cs="Arial" w:eastAsia="Arial" w:hAnsi="Arial"/>
                <w:color w:val="1A1A1A"/>
                <w:sz w:val="20"/>
                <w:szCs w:val="20"/>
              </w:rPr>
              <w:t xml:space="preserve">Set Recipients to All Contacts</w:t>
            </w:r>
          </w:p>
          <w:p>
            <w:pPr>
              <w:pStyle w:val="ListParagraph"/>
              <w:numPr>
                <w:ilvl w:val="0"/>
                <w:numId w:val="4"/>
              </w:numPr>
              <w:spacing w:after="60" w:before="60"/>
            </w:pPr>
            <w:r>
              <w:rPr>
                <w:rFonts w:ascii="Arial" w:cs="Arial" w:eastAsia="Arial" w:hAnsi="Arial"/>
                <w:color w:val="1A1A1A"/>
                <w:sz w:val="20"/>
                <w:szCs w:val="20"/>
              </w:rPr>
              <w:t xml:space="preserve">Set Trigger: Stage Change → Warm (or Hot, depending on brokerage preference)</w:t>
            </w:r>
          </w:p>
          <w:p>
            <w:pPr>
              <w:pStyle w:val="ListParagraph"/>
              <w:numPr>
                <w:ilvl w:val="0"/>
                <w:numId w:val="4"/>
              </w:numPr>
              <w:spacing w:after="60" w:before="60"/>
            </w:pPr>
            <w:r>
              <w:rPr>
                <w:rFonts w:ascii="Arial" w:cs="Arial" w:eastAsia="Arial" w:hAnsi="Arial"/>
                <w:color w:val="1A1A1A"/>
                <w:sz w:val="20"/>
                <w:szCs w:val="20"/>
              </w:rPr>
              <w:t xml:space="preserve">Add Condition: Contact Profile Detail → Contact Type = Buyer</w:t>
            </w:r>
          </w:p>
          <w:p>
            <w:pPr>
              <w:pStyle w:val="ListParagraph"/>
              <w:numPr>
                <w:ilvl w:val="0"/>
                <w:numId w:val="4"/>
              </w:numPr>
              <w:spacing w:after="60" w:before="60"/>
            </w:pPr>
            <w:r>
              <w:rPr>
                <w:rFonts w:ascii="Arial" w:cs="Arial" w:eastAsia="Arial" w:hAnsi="Arial"/>
                <w:color w:val="1A1A1A"/>
                <w:sz w:val="20"/>
                <w:szCs w:val="20"/>
              </w:rPr>
              <w:t xml:space="preserve">Add tasks: Buyer Presentation, schedule showings, buyer needs review</w:t>
            </w:r>
          </w:p>
          <w:p>
            <w:pPr>
              <w:pStyle w:val="ListParagraph"/>
              <w:numPr>
                <w:ilvl w:val="0"/>
                <w:numId w:val="4"/>
              </w:numPr>
              <w:spacing w:after="60" w:before="60"/>
            </w:pPr>
            <w:r>
              <w:rPr>
                <w:rFonts w:ascii="Arial" w:cs="Arial" w:eastAsia="Arial" w:hAnsi="Arial"/>
                <w:color w:val="1A1A1A"/>
                <w:sz w:val="20"/>
                <w:szCs w:val="20"/>
              </w:rPr>
              <w:t xml:space="preserve">Add transaction creation task (Skyslope / DocuSign)</w:t>
            </w:r>
          </w:p>
          <w:p>
            <w:pPr>
              <w:pStyle w:val="ListParagraph"/>
              <w:numPr>
                <w:ilvl w:val="0"/>
                <w:numId w:val="4"/>
              </w:numPr>
              <w:spacing w:after="60" w:before="60"/>
            </w:pPr>
            <w:r>
              <w:rPr>
                <w:rFonts w:ascii="Arial" w:cs="Arial" w:eastAsia="Arial" w:hAnsi="Arial"/>
                <w:color w:val="1A1A1A"/>
                <w:sz w:val="20"/>
                <w:szCs w:val="20"/>
              </w:rPr>
              <w:t xml:space="preserve">Use delays and stage conditions between task groups</w:t>
            </w:r>
          </w:p>
          <w:p>
            <w:pPr>
              <w:pStyle w:val="ListParagraph"/>
              <w:numPr>
                <w:ilvl w:val="0"/>
                <w:numId w:val="4"/>
              </w:numPr>
              <w:spacing w:after="60" w:before="60"/>
            </w:pPr>
            <w:r>
              <w:rPr>
                <w:rFonts w:ascii="Arial" w:cs="Arial" w:eastAsia="Arial" w:hAnsi="Arial"/>
                <w:color w:val="1A1A1A"/>
                <w:sz w:val="20"/>
                <w:szCs w:val="20"/>
              </w:rPr>
              <w:t xml:space="preserve">Deploy via Send As, then Start</w:t>
            </w:r>
          </w:p>
          <w:p>
            <w:pPr>
              <w:spacing w:after="80" w:before="80"/>
            </w:pPr>
            <w:r>
              <w:t xml:space="preserve"/>
            </w:r>
          </w:p>
          <w:p>
            <w:r>
              <w:rPr>
                <w:rFonts w:ascii="Arial" w:cs="Arial" w:eastAsia="Arial" w:hAnsi="Arial"/>
                <w:b/>
                <w:bCs/>
                <w:color w:val="0D4F5C"/>
                <w:sz w:val="20"/>
                <w:szCs w:val="20"/>
              </w:rPr>
              <w:t xml:space="preserve">Admin note:  </w:t>
            </w:r>
            <w:r>
              <w:rPr>
                <w:rFonts w:ascii="Arial" w:cs="Arial" w:eastAsia="Arial" w:hAnsi="Arial"/>
                <w:color w:val="1A1A1A"/>
                <w:sz w:val="20"/>
                <w:szCs w:val="20"/>
              </w:rPr>
              <w:t xml:space="preserve">Build a SEPARATE Campaign for Sellers at the same stage — do not combine Buyer and Seller into one Campaign. Conditions use AND logic, so a Buyer/Seller contact will match both if you are not careful.</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4F5C" w:val="clear"/>
            <w:tcMar>
              <w:top w:type="dxa" w:w="120"/>
              <w:left w:type="dxa" w:w="200"/>
              <w:bottom w:type="dxa" w:w="120"/>
              <w:right w:type="dxa" w:w="200"/>
            </w:tcMar>
          </w:tcPr>
          <w:p>
            <w:r>
              <w:rPr>
                <w:rFonts w:ascii="Arial" w:cs="Arial" w:eastAsia="Arial" w:hAnsi="Arial"/>
                <w:b/>
                <w:bCs/>
                <w:color w:val="FFFFFF"/>
                <w:sz w:val="22"/>
                <w:szCs w:val="22"/>
              </w:rPr>
              <w:t xml:space="preserve">Campaign 4: Seller Task List</w:t>
            </w:r>
          </w:p>
        </w:tc>
      </w:tr>
      <w:tr>
        <w:tc>
          <w:tcPr>
            <w:tcW w:type="dxa" w:w="9360"/>
            <w:tcBorders>
              <w:top w:val="none" w:color="FFFFFF" w:sz="0"/>
              <w:left w:val="none" w:color="FFFFFF" w:sz="0"/>
              <w:bottom w:val="none" w:color="FFFFFF" w:sz="0"/>
              <w:right w:val="none" w:color="FFFFFF" w:sz="0"/>
            </w:tcBorders>
            <w:shd w:fill="E6F4F1" w:val="clear"/>
            <w:tcMar>
              <w:top w:type="dxa" w:w="120"/>
              <w:left w:type="dxa" w:w="200"/>
              <w:bottom w:type="dxa" w:w="120"/>
              <w:right w:type="dxa" w:w="200"/>
            </w:tcMar>
          </w:tcPr>
          <w:p>
            <w:r>
              <w:rPr>
                <w:rFonts w:ascii="Arial" w:cs="Arial" w:eastAsia="Arial" w:hAnsi="Arial"/>
                <w:b/>
                <w:bCs/>
                <w:color w:val="0D4F5C"/>
                <w:sz w:val="20"/>
                <w:szCs w:val="20"/>
              </w:rPr>
              <w:t xml:space="preserve">Configuration</w:t>
            </w:r>
          </w:p>
          <w:p>
            <w:r>
              <w:rPr>
                <w:rFonts w:ascii="Arial" w:cs="Arial" w:eastAsia="Arial" w:hAnsi="Arial"/>
                <w:color w:val="1A1A1A"/>
                <w:sz w:val="20"/>
                <w:szCs w:val="20"/>
              </w:rPr>
              <w:t xml:space="preserve">Recipients: All Contacts  |  Trigger: Stage Change → Warm or Hot  |  Contact Type Condition: Contact Type = Seller</w:t>
            </w:r>
          </w:p>
          <w:p>
            <w:pPr>
              <w:spacing w:after="80" w:before="80"/>
            </w:pPr>
            <w:r>
              <w:t xml:space="preserve"/>
            </w:r>
          </w:p>
          <w:p>
            <w:r>
              <w:rPr>
                <w:rFonts w:ascii="Arial" w:cs="Arial" w:eastAsia="Arial" w:hAnsi="Arial"/>
                <w:b/>
                <w:bCs/>
                <w:color w:val="0D4F5C"/>
                <w:sz w:val="20"/>
                <w:szCs w:val="20"/>
              </w:rPr>
              <w:t xml:space="preserve">When to deploy this</w:t>
            </w:r>
          </w:p>
          <w:p>
            <w:r>
              <w:rPr>
                <w:rFonts w:ascii="Arial" w:cs="Arial" w:eastAsia="Arial" w:hAnsi="Arial"/>
                <w:color w:val="1A1A1A"/>
                <w:sz w:val="20"/>
                <w:szCs w:val="20"/>
              </w:rPr>
              <w:t xml:space="preserve">Deploy for seller-specific task automation. Build as a separate Campaign from the Buyer list.</w:t>
            </w:r>
          </w:p>
          <w:p>
            <w:pPr>
              <w:spacing w:after="80" w:before="80"/>
            </w:pPr>
            <w:r>
              <w:t xml:space="preserve"/>
            </w:r>
          </w:p>
          <w:p>
            <w:r>
              <w:rPr>
                <w:rFonts w:ascii="Arial" w:cs="Arial" w:eastAsia="Arial" w:hAnsi="Arial"/>
                <w:b/>
                <w:bCs/>
                <w:color w:val="0D4F5C"/>
                <w:sz w:val="20"/>
                <w:szCs w:val="20"/>
              </w:rPr>
              <w:t xml:space="preserve">Build steps</w:t>
            </w:r>
          </w:p>
          <w:p>
            <w:pPr>
              <w:pStyle w:val="ListParagraph"/>
              <w:numPr>
                <w:ilvl w:val="0"/>
                <w:numId w:val="4"/>
              </w:numPr>
              <w:spacing w:after="60" w:before="60"/>
            </w:pPr>
            <w:r>
              <w:rPr>
                <w:rFonts w:ascii="Arial" w:cs="Arial" w:eastAsia="Arial" w:hAnsi="Arial"/>
                <w:color w:val="1A1A1A"/>
                <w:sz w:val="20"/>
                <w:szCs w:val="20"/>
              </w:rPr>
              <w:t xml:space="preserve">Set Recipients to All Contacts</w:t>
            </w:r>
          </w:p>
          <w:p>
            <w:pPr>
              <w:pStyle w:val="ListParagraph"/>
              <w:numPr>
                <w:ilvl w:val="0"/>
                <w:numId w:val="4"/>
              </w:numPr>
              <w:spacing w:after="60" w:before="60"/>
            </w:pPr>
            <w:r>
              <w:rPr>
                <w:rFonts w:ascii="Arial" w:cs="Arial" w:eastAsia="Arial" w:hAnsi="Arial"/>
                <w:color w:val="1A1A1A"/>
                <w:sz w:val="20"/>
                <w:szCs w:val="20"/>
              </w:rPr>
              <w:t xml:space="preserve">Set Trigger: Stage Change → Warm (or Hot, depending on brokerage preference)</w:t>
            </w:r>
          </w:p>
          <w:p>
            <w:pPr>
              <w:pStyle w:val="ListParagraph"/>
              <w:numPr>
                <w:ilvl w:val="0"/>
                <w:numId w:val="4"/>
              </w:numPr>
              <w:spacing w:after="60" w:before="60"/>
            </w:pPr>
            <w:r>
              <w:rPr>
                <w:rFonts w:ascii="Arial" w:cs="Arial" w:eastAsia="Arial" w:hAnsi="Arial"/>
                <w:color w:val="1A1A1A"/>
                <w:sz w:val="20"/>
                <w:szCs w:val="20"/>
              </w:rPr>
              <w:t xml:space="preserve">Add Condition: Contact Profile Detail → Contact Type = Seller</w:t>
            </w:r>
          </w:p>
          <w:p>
            <w:pPr>
              <w:pStyle w:val="ListParagraph"/>
              <w:numPr>
                <w:ilvl w:val="0"/>
                <w:numId w:val="4"/>
              </w:numPr>
              <w:spacing w:after="60" w:before="60"/>
            </w:pPr>
            <w:r>
              <w:rPr>
                <w:rFonts w:ascii="Arial" w:cs="Arial" w:eastAsia="Arial" w:hAnsi="Arial"/>
                <w:color w:val="1A1A1A"/>
                <w:sz w:val="20"/>
                <w:szCs w:val="20"/>
              </w:rPr>
              <w:t xml:space="preserve">Add tasks: CMA creation and presentation, listing agreement review, home prep to-do list</w:t>
            </w:r>
          </w:p>
          <w:p>
            <w:pPr>
              <w:pStyle w:val="ListParagraph"/>
              <w:numPr>
                <w:ilvl w:val="0"/>
                <w:numId w:val="4"/>
              </w:numPr>
              <w:spacing w:after="60" w:before="60"/>
            </w:pPr>
            <w:r>
              <w:rPr>
                <w:rFonts w:ascii="Arial" w:cs="Arial" w:eastAsia="Arial" w:hAnsi="Arial"/>
                <w:color w:val="1A1A1A"/>
                <w:sz w:val="20"/>
                <w:szCs w:val="20"/>
              </w:rPr>
              <w:t xml:space="preserve">Add task: mail thank you note</w:t>
            </w:r>
          </w:p>
          <w:p>
            <w:pPr>
              <w:pStyle w:val="ListParagraph"/>
              <w:numPr>
                <w:ilvl w:val="0"/>
                <w:numId w:val="4"/>
              </w:numPr>
              <w:spacing w:after="60" w:before="60"/>
            </w:pPr>
            <w:r>
              <w:rPr>
                <w:rFonts w:ascii="Arial" w:cs="Arial" w:eastAsia="Arial" w:hAnsi="Arial"/>
                <w:color w:val="1A1A1A"/>
                <w:sz w:val="20"/>
                <w:szCs w:val="20"/>
              </w:rPr>
              <w:t xml:space="preserve">Add transaction creation task once listing is live</w:t>
            </w:r>
          </w:p>
          <w:p>
            <w:pPr>
              <w:pStyle w:val="ListParagraph"/>
              <w:numPr>
                <w:ilvl w:val="0"/>
                <w:numId w:val="4"/>
              </w:numPr>
              <w:spacing w:after="60" w:before="60"/>
            </w:pPr>
            <w:r>
              <w:rPr>
                <w:rFonts w:ascii="Arial" w:cs="Arial" w:eastAsia="Arial" w:hAnsi="Arial"/>
                <w:color w:val="1A1A1A"/>
                <w:sz w:val="20"/>
                <w:szCs w:val="20"/>
              </w:rPr>
              <w:t xml:space="preserve">Use delays and stage conditions between task groups</w:t>
            </w:r>
          </w:p>
          <w:p>
            <w:pPr>
              <w:pStyle w:val="ListParagraph"/>
              <w:numPr>
                <w:ilvl w:val="0"/>
                <w:numId w:val="4"/>
              </w:numPr>
              <w:spacing w:after="60" w:before="60"/>
            </w:pPr>
            <w:r>
              <w:rPr>
                <w:rFonts w:ascii="Arial" w:cs="Arial" w:eastAsia="Arial" w:hAnsi="Arial"/>
                <w:color w:val="1A1A1A"/>
                <w:sz w:val="20"/>
                <w:szCs w:val="20"/>
              </w:rPr>
              <w:t xml:space="preserve">Deploy via Send As, then Start</w:t>
            </w:r>
          </w:p>
          <w:p>
            <w:pPr>
              <w:spacing w:after="80" w:before="80"/>
            </w:pPr>
            <w:r>
              <w:t xml:space="preserve"/>
            </w:r>
          </w:p>
          <w:p>
            <w:r>
              <w:rPr>
                <w:rFonts w:ascii="Arial" w:cs="Arial" w:eastAsia="Arial" w:hAnsi="Arial"/>
                <w:b/>
                <w:bCs/>
                <w:color w:val="0D4F5C"/>
                <w:sz w:val="20"/>
                <w:szCs w:val="20"/>
              </w:rPr>
              <w:t xml:space="preserve">Admin note:  </w:t>
            </w:r>
            <w:r>
              <w:rPr>
                <w:rFonts w:ascii="Arial" w:cs="Arial" w:eastAsia="Arial" w:hAnsi="Arial"/>
                <w:color w:val="1A1A1A"/>
                <w:sz w:val="20"/>
                <w:szCs w:val="20"/>
              </w:rPr>
              <w:t xml:space="preserve">This is a separate Campaign from Campaign 3 (Buyer). Both may trigger on the same stage (e.g., Warm), but the Contact Type condition separates them. A contact classified as Buyer/Seller will match both — review task overlap before deploying both Campaigns to the same audience.</w:t>
            </w:r>
          </w:p>
        </w:tc>
      </w:tr>
    </w:tbl>
    <w:p>
      <w:pPr>
        <w:spacing w:after="80" w:before="80"/>
      </w:pPr>
      <w:r>
        <w:t xml:space="preserve"/>
      </w:r>
    </w:p>
    <w:p>
      <w:r>
        <w:br w:type="page"/>
      </w:r>
    </w:p>
    <w:p>
      <w:pPr>
        <w:spacing w:after="80" w:before="320"/>
      </w:pPr>
      <w:r>
        <w:rPr>
          <w:rFonts w:ascii="Arial" w:cs="Arial" w:eastAsia="Arial" w:hAnsi="Arial"/>
          <w:b/>
          <w:bCs/>
          <w:color w:val="0D4F5C"/>
          <w:sz w:val="18"/>
          <w:szCs w:val="18"/>
        </w:rPr>
        <w:t xml:space="preserve">AT A GLANCE</w:t>
      </w:r>
    </w:p>
    <w:p>
      <w:pPr>
        <w:pStyle w:val="Heading1"/>
        <w:spacing w:after="160" w:before="160"/>
      </w:pPr>
      <w:r>
        <w:rPr>
          <w:rFonts w:ascii="Arial" w:cs="Arial" w:eastAsia="Arial" w:hAnsi="Arial"/>
          <w:b/>
          <w:bCs/>
          <w:color w:val="1A1A1A"/>
          <w:sz w:val="36"/>
          <w:szCs w:val="36"/>
        </w:rPr>
        <w:t xml:space="preserve">Deployment Checklist and Decision Guide</w:t>
      </w:r>
    </w:p>
    <w:p>
      <w:pPr>
        <w:pStyle w:val="Heading2"/>
        <w:spacing w:after="120" w:before="200"/>
      </w:pPr>
      <w:r>
        <w:rPr>
          <w:rFonts w:ascii="Arial" w:cs="Arial" w:eastAsia="Arial" w:hAnsi="Arial"/>
          <w:b/>
          <w:bCs/>
          <w:color w:val="0D4F5C"/>
          <w:sz w:val="26"/>
          <w:szCs w:val="26"/>
        </w:rPr>
        <w:t xml:space="preserve">Pre-Deployment Checklist</w:t>
      </w:r>
    </w:p>
    <w:p>
      <w:pPr>
        <w:spacing w:after="80" w:before="80"/>
      </w:pPr>
      <w:r>
        <w:rPr>
          <w:rFonts w:ascii="Arial" w:cs="Arial" w:eastAsia="Arial" w:hAnsi="Arial"/>
          <w:color w:val="1A1A1A"/>
          <w:sz w:val="20"/>
          <w:szCs w:val="20"/>
        </w:rPr>
        <w:t xml:space="preserve">Complete the following before clicking Start on any Campaign:</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
            </w:r>
          </w:p>
        </w:tc>
        <w:tc>
          <w:tcPr>
            <w:tcW w:type="dxa" w:w="864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Check</w:t>
            </w:r>
          </w:p>
        </w:tc>
      </w:tr>
      <w:tr>
        <w:tc>
          <w:tcPr>
            <w:tcW w:type="dxa" w:w="7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Recipients set to All Contacts</w:t>
            </w:r>
          </w:p>
        </w:tc>
      </w:tr>
      <w:tr>
        <w:tc>
          <w:tcPr>
            <w:tcW w:type="dxa" w:w="7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Correct Stage selected in trigger</w:t>
            </w:r>
          </w:p>
        </w:tc>
      </w:tr>
      <w:tr>
        <w:tc>
          <w:tcPr>
            <w:tcW w:type="dxa" w:w="7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Correct enrollment scope selected (New only vs. All contacts in Stage)</w:t>
            </w:r>
          </w:p>
        </w:tc>
      </w:tr>
      <w:tr>
        <w:tc>
          <w:tcPr>
            <w:tcW w:type="dxa" w:w="7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Contact Type condition added for Buyer and Seller Campaigns</w:t>
            </w:r>
          </w:p>
        </w:tc>
      </w:tr>
      <w:tr>
        <w:tc>
          <w:tcPr>
            <w:tcW w:type="dxa" w:w="7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Stage condition added after every Delay block</w:t>
            </w:r>
          </w:p>
        </w:tc>
      </w:tr>
      <w:tr>
        <w:tc>
          <w:tcPr>
            <w:tcW w:type="dxa" w:w="7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Task names, types, and cadence reviewed and confirmed</w:t>
            </w:r>
          </w:p>
        </w:tc>
      </w:tr>
      <w:tr>
        <w:tc>
          <w:tcPr>
            <w:tcW w:type="dxa" w:w="72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Send As applied to correct agents or offices</w:t>
            </w:r>
          </w:p>
        </w:tc>
      </w:tr>
      <w:tr>
        <w:tc>
          <w:tcPr>
            <w:tcW w:type="dxa" w:w="72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w:t>
            </w:r>
          </w:p>
        </w:tc>
        <w:tc>
          <w:tcPr>
            <w:tcW w:type="dxa" w:w="864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Campaign reviewed end-to-end before clicking Start</w:t>
            </w:r>
          </w:p>
        </w:tc>
      </w:tr>
    </w:tbl>
    <w:p>
      <w:pPr>
        <w:spacing w:after="80" w:before="80"/>
      </w:pPr>
      <w:r>
        <w:t xml:space="preserve"/>
      </w:r>
    </w:p>
    <w:p>
      <w:pPr>
        <w:pStyle w:val="Heading2"/>
        <w:spacing w:after="120" w:before="200"/>
      </w:pPr>
      <w:r>
        <w:rPr>
          <w:rFonts w:ascii="Arial" w:cs="Arial" w:eastAsia="Arial" w:hAnsi="Arial"/>
          <w:b/>
          <w:bCs/>
          <w:color w:val="0D4F5C"/>
          <w:sz w:val="26"/>
          <w:szCs w:val="26"/>
        </w:rPr>
        <w:t xml:space="preserve">Decision Guide</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Scenario</w:t>
            </w:r>
          </w:p>
        </w:tc>
        <w:tc>
          <w:tcPr>
            <w:tcW w:type="dxa" w:w="4680"/>
            <w:tcBorders>
              <w:top w:val="single" w:color="CCCCCC" w:sz="1"/>
              <w:left w:val="single" w:color="CCCCCC" w:sz="1"/>
              <w:bottom w:val="single" w:color="CCCCCC" w:sz="1"/>
              <w:right w:val="single" w:color="CCCCCC" w:sz="1"/>
            </w:tcBorders>
            <w:shd w:fill="0D4F5C" w:val="clear"/>
            <w:tcMar>
              <w:top w:type="dxa" w:w="100"/>
              <w:left w:type="dxa" w:w="120"/>
              <w:bottom w:type="dxa" w:w="100"/>
              <w:right w:type="dxa" w:w="120"/>
            </w:tcMar>
          </w:tcPr>
          <w:p>
            <w:r>
              <w:rPr>
                <w:rFonts w:ascii="Arial" w:cs="Arial" w:eastAsia="Arial" w:hAnsi="Arial"/>
                <w:b/>
                <w:bCs/>
                <w:color w:val="FFFFFF"/>
                <w:sz w:val="20"/>
                <w:szCs w:val="20"/>
              </w:rPr>
              <w:t xml:space="preserve">Recommended Action</w:t>
            </w:r>
          </w:p>
        </w:tc>
      </w:tr>
      <w:tr>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Agents have no existing contacts in stages</w:t>
            </w:r>
          </w:p>
        </w:tc>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Use All contacts in Stage for all Campaigns</w:t>
            </w:r>
          </w:p>
        </w:tc>
      </w:tr>
      <w:tr>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Agents have been manually managing tasks in some stages</w:t>
            </w:r>
          </w:p>
        </w:tc>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Use Only new contacts in Stage to avoid duplicate tasks</w:t>
            </w:r>
          </w:p>
        </w:tc>
      </w:tr>
      <w:tr>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Need different tasks for buyers vs. sellers at the same stage</w:t>
            </w:r>
          </w:p>
        </w:tc>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Build two separate Campaigns with Contact Type conditions</w:t>
            </w:r>
          </w:p>
        </w:tc>
      </w:tr>
      <w:tr>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A contact is classified as both Buyer and Seller</w:t>
            </w:r>
          </w:p>
        </w:tc>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Both the Buyer and Seller Campaigns will trigger — review task overlap before deploying</w:t>
            </w:r>
          </w:p>
        </w:tc>
      </w:tr>
      <w:tr>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Deploying to one office only, not full brokerage</w:t>
            </w:r>
          </w:p>
        </w:tc>
        <w:tc>
          <w:tcPr>
            <w:tcW w:type="dxa" w:w="4680"/>
            <w:tcBorders>
              <w:top w:val="single" w:color="CCCCCC" w:sz="1"/>
              <w:left w:val="single" w:color="CCCCCC" w:sz="1"/>
              <w:bottom w:val="single" w:color="CCCCCC" w:sz="1"/>
              <w:right w:val="single" w:color="CCCCCC" w:sz="1"/>
            </w:tcBorders>
            <w:shd w:fill="F5F5F5" w:val="clear"/>
            <w:tcMar>
              <w:top w:type="dxa" w:w="100"/>
              <w:left w:type="dxa" w:w="120"/>
              <w:bottom w:type="dxa" w:w="100"/>
              <w:right w:type="dxa" w:w="120"/>
            </w:tcMar>
          </w:tcPr>
          <w:p>
            <w:r>
              <w:rPr>
                <w:rFonts w:ascii="Arial" w:cs="Arial" w:eastAsia="Arial" w:hAnsi="Arial"/>
                <w:b w:val="false"/>
                <w:bCs w:val="false"/>
                <w:color w:val="1A1A1A"/>
                <w:sz w:val="20"/>
                <w:szCs w:val="20"/>
              </w:rPr>
              <w:t xml:space="preserve">Use Send As and select only that office's agents</w:t>
            </w:r>
          </w:p>
        </w:tc>
      </w:tr>
      <w:tr>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Tasks are firing for contacts who have already progressed past a stage</w:t>
            </w:r>
          </w:p>
        </w:tc>
        <w:tc>
          <w:tcPr>
            <w:tcW w:type="dxa" w:w="4680"/>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r>
              <w:rPr>
                <w:rFonts w:ascii="Arial" w:cs="Arial" w:eastAsia="Arial" w:hAnsi="Arial"/>
                <w:b w:val="false"/>
                <w:bCs w:val="false"/>
                <w:color w:val="1A1A1A"/>
                <w:sz w:val="20"/>
                <w:szCs w:val="20"/>
              </w:rPr>
              <w:t xml:space="preserve">Ensure Stage conditions are placed after every Delay block in the Campaign flow</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5"/>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60"/>
      <w:outlineLvl w:val="0"/>
    </w:pPr>
    <w:rPr>
      <w:rFonts w:ascii="Arial" w:cs="Arial" w:eastAsia="Arial" w:hAnsi="Arial"/>
      <w:b/>
      <w:bCs/>
      <w:color w:val="1A1A1A"/>
      <w:sz w:val="36"/>
      <w:szCs w:val="36"/>
    </w:rPr>
  </w:style>
  <w:style w:type="paragraph" w:styleId="Heading2">
    <w:name w:val="Heading 2"/>
    <w:basedOn w:val="Normal"/>
    <w:next w:val="Normal"/>
    <w:qFormat/>
    <w:pPr>
      <w:spacing w:after="120" w:before="200"/>
      <w:outlineLvl w:val="1"/>
    </w:pPr>
    <w:rPr>
      <w:rFonts w:ascii="Arial" w:cs="Arial" w:eastAsia="Arial" w:hAnsi="Arial"/>
      <w:b/>
      <w:bCs/>
      <w:color w:val="0D4F5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28d046ce0aec0cd41a6fd43a683990f6589a877.png"/><Relationship Id="rId8" Type="http://schemas.openxmlformats.org/officeDocument/2006/relationships/image" Target="media/35320d928256129a52a7c498e8023363a8e41347.png"/><Relationship Id="rId9" Type="http://schemas.openxmlformats.org/officeDocument/2006/relationships/image" Target="media/cea005cf0ea8e92f0285fd55254fdf710b59b4e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2026-05-28T20:29:04.123Z</dcterms:created>
  <dcterms:modified xsi:type="dcterms:W3CDTF">2026-05-28T20:29:04.125Z</dcterms:modified>
</cp:coreProperties>
</file>

<file path=docProps/custom.xml><?xml version="1.0" encoding="utf-8"?>
<Properties xmlns="http://schemas.openxmlformats.org/officeDocument/2006/custom-properties" xmlns:vt="http://schemas.openxmlformats.org/officeDocument/2006/docPropsVTypes"/>
</file>